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AB9" w:rsidRPr="00986AB9" w:rsidRDefault="00986AB9" w:rsidP="00986AB9">
      <w:pPr>
        <w:pStyle w:val="2"/>
        <w:spacing w:before="0"/>
      </w:pPr>
      <w:r w:rsidRPr="00986AB9">
        <w:t>Порядок работы с клиентом:</w:t>
      </w:r>
    </w:p>
    <w:p w:rsidR="00986AB9" w:rsidRPr="00986AB9" w:rsidRDefault="00986AB9" w:rsidP="00986AB9">
      <w:pPr>
        <w:spacing w:after="0"/>
        <w:rPr>
          <w:lang w:val="en-US"/>
        </w:rPr>
      </w:pPr>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Зарегистрироваться на сайте (</w:t>
      </w:r>
      <w:hyperlink r:id="rId6" w:history="1">
        <w:r w:rsidRPr="00986AB9">
          <w:rPr>
            <w:rStyle w:val="aa"/>
          </w:rPr>
          <w:t>http://www.kaf801.ru/reg.php</w:t>
        </w:r>
      </w:hyperlink>
      <w:r w:rsidRPr="00986AB9">
        <w:rPr>
          <w:color w:val="000000"/>
        </w:rPr>
        <w:t>).</w:t>
      </w:r>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 xml:space="preserve">Получить у ответственного лица пароли для выполнения необходимых работ. </w:t>
      </w:r>
    </w:p>
    <w:p w:rsidR="00986AB9" w:rsidRPr="00986AB9" w:rsidRDefault="00986AB9" w:rsidP="00986AB9">
      <w:pPr>
        <w:pStyle w:val="a3"/>
        <w:numPr>
          <w:ilvl w:val="0"/>
          <w:numId w:val="2"/>
        </w:numPr>
        <w:spacing w:before="0" w:beforeAutospacing="0" w:after="0" w:afterAutospacing="0"/>
        <w:rPr>
          <w:color w:val="000000"/>
          <w:lang w:val="en-US"/>
        </w:rPr>
      </w:pPr>
      <w:r w:rsidRPr="00986AB9">
        <w:rPr>
          <w:color w:val="000000"/>
        </w:rPr>
        <w:t>Скачать архив с клиентом с сайта 801 кафедры (</w:t>
      </w:r>
      <w:hyperlink r:id="rId7" w:history="1">
        <w:r w:rsidRPr="00986AB9">
          <w:rPr>
            <w:rStyle w:val="aa"/>
          </w:rPr>
          <w:t>http://www.kaf801.ru/LaborantClient.php</w:t>
        </w:r>
      </w:hyperlink>
      <w:r w:rsidRPr="00986AB9">
        <w:rPr>
          <w:color w:val="000000"/>
        </w:rPr>
        <w:t>) . Для большей стабильности работы рекомендуется версия без инсталлятора.</w:t>
      </w:r>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 xml:space="preserve">Распаковать архив в удобную папку (используя, например, </w:t>
      </w:r>
      <w:hyperlink r:id="rId8" w:history="1">
        <w:r w:rsidRPr="00986AB9">
          <w:rPr>
            <w:rStyle w:val="aa"/>
          </w:rPr>
          <w:t>http://www.7-zip.org/download.html</w:t>
        </w:r>
      </w:hyperlink>
      <w:r w:rsidRPr="00986AB9">
        <w:rPr>
          <w:color w:val="000000"/>
        </w:rPr>
        <w:t>).</w:t>
      </w:r>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 xml:space="preserve">Запустить клиент, используя ярлык </w:t>
      </w:r>
      <w:proofErr w:type="spellStart"/>
      <w:r w:rsidRPr="00986AB9">
        <w:rPr>
          <w:color w:val="000000"/>
          <w:lang w:val="en-US"/>
        </w:rPr>
        <w:t>LaborantClient</w:t>
      </w:r>
      <w:proofErr w:type="spellEnd"/>
      <w:r w:rsidRPr="00986AB9">
        <w:rPr>
          <w:color w:val="000000"/>
        </w:rPr>
        <w:t xml:space="preserve"> в папке </w:t>
      </w:r>
      <w:proofErr w:type="spellStart"/>
      <w:r w:rsidRPr="00986AB9">
        <w:rPr>
          <w:color w:val="000000"/>
          <w:lang w:val="en-US"/>
        </w:rPr>
        <w:t>LaborantSetup</w:t>
      </w:r>
      <w:proofErr w:type="spellEnd"/>
      <w:r w:rsidRPr="00986AB9">
        <w:rPr>
          <w:color w:val="000000"/>
        </w:rPr>
        <w:t>.</w:t>
      </w:r>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 xml:space="preserve">Скачать интересующую лабораторную работу. Для этого необходимо нажать на кнопку </w:t>
      </w:r>
      <w:r w:rsidRPr="00986AB9">
        <w:rPr>
          <w:b/>
          <w:color w:val="000000"/>
        </w:rPr>
        <w:t xml:space="preserve">Загрузка лабораторных работ, </w:t>
      </w:r>
      <w:r w:rsidRPr="00986AB9">
        <w:rPr>
          <w:color w:val="000000"/>
        </w:rPr>
        <w:t>а в появившемся окне нажать на кнопку</w:t>
      </w:r>
      <w:proofErr w:type="gramStart"/>
      <w:r w:rsidRPr="00986AB9">
        <w:rPr>
          <w:color w:val="000000"/>
        </w:rPr>
        <w:t xml:space="preserve"> </w:t>
      </w:r>
      <w:r w:rsidRPr="00986AB9">
        <w:rPr>
          <w:b/>
          <w:color w:val="000000"/>
        </w:rPr>
        <w:t>С</w:t>
      </w:r>
      <w:proofErr w:type="gramEnd"/>
      <w:r w:rsidRPr="00986AB9">
        <w:rPr>
          <w:b/>
          <w:color w:val="000000"/>
        </w:rPr>
        <w:t>качать</w:t>
      </w:r>
      <w:r w:rsidRPr="00986AB9">
        <w:rPr>
          <w:color w:val="000000"/>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 xml:space="preserve">Чтобы приступить к выполнению лабораторной работы, необходимо нажать кнопку </w:t>
      </w:r>
      <w:r w:rsidRPr="00986AB9">
        <w:rPr>
          <w:b/>
          <w:color w:val="000000"/>
        </w:rPr>
        <w:t>Выбор лабораторной работы</w:t>
      </w:r>
      <w:r w:rsidRPr="00986AB9">
        <w:rPr>
          <w:color w:val="000000"/>
        </w:rPr>
        <w:t>, а в появившемся окне нажать на кнопку</w:t>
      </w:r>
      <w:proofErr w:type="gramStart"/>
      <w:r w:rsidRPr="00986AB9">
        <w:rPr>
          <w:color w:val="000000"/>
        </w:rPr>
        <w:t xml:space="preserve"> </w:t>
      </w:r>
      <w:r w:rsidRPr="00986AB9">
        <w:rPr>
          <w:b/>
          <w:color w:val="000000"/>
        </w:rPr>
        <w:t>З</w:t>
      </w:r>
      <w:proofErr w:type="gramEnd"/>
      <w:r w:rsidRPr="00986AB9">
        <w:rPr>
          <w:b/>
          <w:color w:val="000000"/>
        </w:rPr>
        <w:t xml:space="preserve">апустить </w:t>
      </w:r>
      <w:r w:rsidRPr="00986AB9">
        <w:rPr>
          <w:color w:val="000000"/>
        </w:rPr>
        <w:t xml:space="preserve">напротив названия скаченной работы. Появится окно авторизации. В поле </w:t>
      </w:r>
      <w:r w:rsidRPr="00986AB9">
        <w:rPr>
          <w:b/>
          <w:color w:val="000000"/>
        </w:rPr>
        <w:t>Логин</w:t>
      </w:r>
      <w:r w:rsidRPr="00986AB9">
        <w:rPr>
          <w:color w:val="000000"/>
        </w:rPr>
        <w:t xml:space="preserve"> необходимо ввести </w:t>
      </w:r>
      <w:proofErr w:type="gramStart"/>
      <w:r w:rsidRPr="00986AB9">
        <w:rPr>
          <w:color w:val="000000"/>
        </w:rPr>
        <w:t>логин</w:t>
      </w:r>
      <w:proofErr w:type="gramEnd"/>
      <w:r w:rsidRPr="00986AB9">
        <w:rPr>
          <w:color w:val="000000"/>
        </w:rPr>
        <w:t xml:space="preserve"> полученный при регистрации на сайте, в поле </w:t>
      </w:r>
      <w:r w:rsidRPr="00986AB9">
        <w:rPr>
          <w:b/>
          <w:color w:val="000000"/>
        </w:rPr>
        <w:t>Пароль</w:t>
      </w:r>
      <w:r w:rsidRPr="00986AB9">
        <w:rPr>
          <w:color w:val="000000"/>
        </w:rPr>
        <w:t xml:space="preserve"> необходимо ввести пароль, полученный от ответственного лица (</w:t>
      </w:r>
      <w:r w:rsidRPr="00986AB9">
        <w:rPr>
          <w:color w:val="000000"/>
          <w:u w:val="single"/>
        </w:rPr>
        <w:t>а не пароль от «личного кабинета», указанный при регистрации!</w:t>
      </w:r>
      <w:r w:rsidRPr="00986AB9">
        <w:rPr>
          <w:color w:val="000000"/>
        </w:rPr>
        <w:t>).</w:t>
      </w:r>
    </w:p>
    <w:p w:rsidR="00986AB9" w:rsidRPr="00986AB9" w:rsidRDefault="00986AB9" w:rsidP="00986AB9">
      <w:pPr>
        <w:pStyle w:val="a3"/>
        <w:numPr>
          <w:ilvl w:val="0"/>
          <w:numId w:val="2"/>
        </w:numPr>
        <w:spacing w:before="0" w:beforeAutospacing="0" w:after="0" w:afterAutospacing="0"/>
        <w:rPr>
          <w:color w:val="000000"/>
          <w:lang w:val="en-US"/>
        </w:rPr>
      </w:pPr>
      <w:r w:rsidRPr="00986AB9">
        <w:rPr>
          <w:color w:val="000000"/>
        </w:rPr>
        <w:t>Дождаться загрузки сцены.</w:t>
      </w:r>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 xml:space="preserve">Снять необходимые замеры, руководствуясь методическим пособием по лабораторным практикумам и данным справочным руководством.  Для </w:t>
      </w:r>
      <w:proofErr w:type="gramStart"/>
      <w:r w:rsidRPr="00986AB9">
        <w:rPr>
          <w:color w:val="000000"/>
        </w:rPr>
        <w:t>комфортной</w:t>
      </w:r>
      <w:proofErr w:type="gramEnd"/>
      <w:r w:rsidRPr="00986AB9">
        <w:rPr>
          <w:color w:val="000000"/>
        </w:rPr>
        <w:t xml:space="preserve">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986AB9" w:rsidRPr="00986AB9" w:rsidRDefault="00986AB9" w:rsidP="00986AB9">
      <w:pPr>
        <w:pStyle w:val="a3"/>
        <w:numPr>
          <w:ilvl w:val="0"/>
          <w:numId w:val="3"/>
        </w:numPr>
        <w:spacing w:before="0" w:beforeAutospacing="0" w:after="0" w:afterAutospacing="0"/>
        <w:rPr>
          <w:color w:val="000000"/>
        </w:rPr>
      </w:pPr>
      <w:r w:rsidRPr="00986AB9">
        <w:rPr>
          <w:color w:val="000000"/>
        </w:rPr>
        <w:t>щелчок левой кнопкой мыши – взаимодействие с активным объектом,</w:t>
      </w:r>
    </w:p>
    <w:p w:rsidR="00986AB9" w:rsidRPr="00986AB9" w:rsidRDefault="00986AB9" w:rsidP="00986AB9">
      <w:pPr>
        <w:pStyle w:val="a3"/>
        <w:numPr>
          <w:ilvl w:val="0"/>
          <w:numId w:val="3"/>
        </w:numPr>
        <w:spacing w:before="0" w:beforeAutospacing="0" w:after="0" w:afterAutospacing="0"/>
        <w:rPr>
          <w:color w:val="000000"/>
        </w:rPr>
      </w:pPr>
      <w:r w:rsidRPr="00986AB9">
        <w:rPr>
          <w:color w:val="000000"/>
        </w:rPr>
        <w:t>перемещение мыши с зажатой левой кнопкой – вращение камеры,</w:t>
      </w:r>
    </w:p>
    <w:p w:rsidR="00986AB9" w:rsidRPr="00986AB9" w:rsidRDefault="00986AB9" w:rsidP="00986AB9">
      <w:pPr>
        <w:pStyle w:val="a3"/>
        <w:numPr>
          <w:ilvl w:val="0"/>
          <w:numId w:val="3"/>
        </w:numPr>
        <w:spacing w:before="0" w:beforeAutospacing="0" w:after="0" w:afterAutospacing="0"/>
        <w:rPr>
          <w:color w:val="000000"/>
        </w:rPr>
      </w:pPr>
      <w:r w:rsidRPr="00986AB9">
        <w:rPr>
          <w:color w:val="000000"/>
        </w:rPr>
        <w:t>перемещение мыши с зажатой правой кнопкой – перемещение камеры,</w:t>
      </w:r>
    </w:p>
    <w:p w:rsidR="00986AB9" w:rsidRPr="00986AB9" w:rsidRDefault="00986AB9" w:rsidP="00986AB9">
      <w:pPr>
        <w:pStyle w:val="a3"/>
        <w:numPr>
          <w:ilvl w:val="0"/>
          <w:numId w:val="3"/>
        </w:numPr>
        <w:spacing w:before="0" w:beforeAutospacing="0" w:after="0" w:afterAutospacing="0"/>
        <w:rPr>
          <w:color w:val="000000"/>
        </w:rPr>
      </w:pPr>
      <w:proofErr w:type="gramStart"/>
      <w:r w:rsidRPr="00986AB9">
        <w:rPr>
          <w:color w:val="000000"/>
        </w:rPr>
        <w:t xml:space="preserve">перемещение мыши с зажатыми левой и правой кнопками – </w:t>
      </w:r>
      <w:proofErr w:type="spellStart"/>
      <w:r w:rsidRPr="00986AB9">
        <w:rPr>
          <w:color w:val="000000"/>
        </w:rPr>
        <w:t>зум</w:t>
      </w:r>
      <w:proofErr w:type="spellEnd"/>
      <w:r w:rsidRPr="00986AB9">
        <w:rPr>
          <w:color w:val="000000"/>
        </w:rPr>
        <w:t xml:space="preserve"> камеры.</w:t>
      </w:r>
      <w:proofErr w:type="gramEnd"/>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 xml:space="preserve">Нажатие на кнопку </w:t>
      </w:r>
      <w:r w:rsidRPr="00986AB9">
        <w:rPr>
          <w:b/>
          <w:color w:val="000000"/>
        </w:rPr>
        <w:t>Помощь</w:t>
      </w:r>
      <w:r w:rsidRPr="00986AB9">
        <w:rPr>
          <w:color w:val="000000"/>
        </w:rPr>
        <w:t xml:space="preserve"> выведет на экран краткие сведения по устройству экспериментальной установки и/или ходу выполнения работы.</w:t>
      </w:r>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 xml:space="preserve">Результаты измерений и вычислений необходимо занести в таблицу, для чего необходимо нажать на соответствующую кнопку. </w:t>
      </w:r>
      <w:r w:rsidRPr="00986AB9">
        <w:rPr>
          <w:color w:val="000000"/>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986AB9">
        <w:rPr>
          <w:b/>
          <w:color w:val="000000"/>
          <w:u w:val="single"/>
        </w:rPr>
        <w:t>запятая</w:t>
      </w:r>
      <w:r w:rsidRPr="00986AB9">
        <w:rPr>
          <w:color w:val="000000"/>
          <w:u w:val="single"/>
        </w:rPr>
        <w:t>!</w:t>
      </w:r>
      <w:r w:rsidRPr="00986AB9">
        <w:rPr>
          <w:color w:val="000000"/>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w:t>
      </w:r>
      <w:proofErr w:type="gramStart"/>
      <w:r w:rsidRPr="00986AB9">
        <w:rPr>
          <w:color w:val="000000"/>
        </w:rPr>
        <w:t xml:space="preserve"> </w:t>
      </w:r>
      <w:r w:rsidRPr="00986AB9">
        <w:rPr>
          <w:b/>
          <w:color w:val="000000"/>
        </w:rPr>
        <w:t>П</w:t>
      </w:r>
      <w:proofErr w:type="gramEnd"/>
      <w:r w:rsidRPr="00986AB9">
        <w:rPr>
          <w:b/>
          <w:color w:val="000000"/>
        </w:rPr>
        <w:t>роверить</w:t>
      </w:r>
      <w:r w:rsidRPr="00986AB9">
        <w:rPr>
          <w:color w:val="000000"/>
        </w:rPr>
        <w:t xml:space="preserve">,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w:t>
      </w:r>
      <w:proofErr w:type="gramStart"/>
      <w:r w:rsidRPr="00986AB9">
        <w:rPr>
          <w:color w:val="000000"/>
        </w:rPr>
        <w:t>лабораторная</w:t>
      </w:r>
      <w:proofErr w:type="gramEnd"/>
      <w:r w:rsidRPr="00986AB9">
        <w:rPr>
          <w:color w:val="000000"/>
        </w:rPr>
        <w:t xml:space="preserve"> работа считается не сданной.</w:t>
      </w:r>
    </w:p>
    <w:p w:rsidR="00986AB9" w:rsidRPr="00986AB9" w:rsidRDefault="00986AB9" w:rsidP="00986AB9">
      <w:pPr>
        <w:pStyle w:val="a3"/>
        <w:numPr>
          <w:ilvl w:val="0"/>
          <w:numId w:val="2"/>
        </w:numPr>
        <w:spacing w:before="0" w:beforeAutospacing="0" w:after="0" w:afterAutospacing="0"/>
        <w:rPr>
          <w:color w:val="000000"/>
        </w:rPr>
      </w:pPr>
      <w:r w:rsidRPr="00986AB9">
        <w:rPr>
          <w:color w:val="000000"/>
        </w:rPr>
        <w:t>После появления сообщения об успешной сдаче лабораторной работы окно клиента можно закрыть.</w:t>
      </w:r>
    </w:p>
    <w:p w:rsidR="00986AB9" w:rsidRPr="00986AB9" w:rsidRDefault="00986AB9" w:rsidP="00986AB9">
      <w:pPr>
        <w:pStyle w:val="2"/>
        <w:spacing w:before="0"/>
      </w:pPr>
    </w:p>
    <w:p w:rsidR="00986AB9" w:rsidRPr="007A0552" w:rsidRDefault="00927BB3" w:rsidP="00986AB9">
      <w:pPr>
        <w:pStyle w:val="2"/>
        <w:spacing w:before="0"/>
      </w:pPr>
      <w:r w:rsidRPr="00986AB9">
        <w:t>Лабораторная работа №127</w:t>
      </w:r>
    </w:p>
    <w:p w:rsidR="002F4C1E" w:rsidRPr="00986AB9" w:rsidRDefault="00927BB3" w:rsidP="00986AB9">
      <w:pPr>
        <w:pStyle w:val="2"/>
        <w:spacing w:before="0"/>
      </w:pPr>
      <w:r w:rsidRPr="00986AB9">
        <w:t xml:space="preserve">Определение </w:t>
      </w:r>
      <w:proofErr w:type="gramStart"/>
      <w:r w:rsidRPr="00986AB9">
        <w:t>постоянной</w:t>
      </w:r>
      <w:proofErr w:type="gramEnd"/>
      <w:r w:rsidRPr="00986AB9">
        <w:t xml:space="preserve"> Планка</w:t>
      </w:r>
    </w:p>
    <w:p w:rsidR="00FB48E6" w:rsidRPr="00986AB9" w:rsidRDefault="00FB48E6" w:rsidP="00986AB9">
      <w:pPr>
        <w:spacing w:after="0"/>
        <w:rPr>
          <w:b/>
        </w:rPr>
      </w:pPr>
    </w:p>
    <w:p w:rsidR="00FB48E6" w:rsidRPr="00986AB9" w:rsidRDefault="00927BB3" w:rsidP="00986AB9">
      <w:pPr>
        <w:spacing w:after="0"/>
        <w:rPr>
          <w:rFonts w:eastAsia="Times New Roman"/>
        </w:rPr>
      </w:pPr>
      <w:r w:rsidRPr="00986AB9">
        <w:rPr>
          <w:rStyle w:val="a6"/>
          <w:rFonts w:eastAsia="Times New Roman"/>
        </w:rPr>
        <w:t>Цель работы:</w:t>
      </w:r>
      <w:r w:rsidRPr="00986AB9">
        <w:rPr>
          <w:rFonts w:eastAsia="Times New Roman"/>
        </w:rPr>
        <w:t xml:space="preserve"> </w:t>
      </w:r>
    </w:p>
    <w:p w:rsidR="002F4C1E" w:rsidRPr="00986AB9" w:rsidRDefault="00927BB3" w:rsidP="00986AB9">
      <w:pPr>
        <w:spacing w:after="0"/>
        <w:rPr>
          <w:rFonts w:eastAsia="Times New Roman"/>
        </w:rPr>
      </w:pPr>
      <w:r w:rsidRPr="00986AB9">
        <w:rPr>
          <w:rFonts w:eastAsia="Times New Roman"/>
        </w:rPr>
        <w:t xml:space="preserve">по спектру поглощения </w:t>
      </w:r>
      <w:proofErr w:type="spellStart"/>
      <w:r w:rsidRPr="00986AB9">
        <w:rPr>
          <w:rFonts w:eastAsia="Times New Roman"/>
        </w:rPr>
        <w:t>двухромовокислого</w:t>
      </w:r>
      <w:proofErr w:type="spellEnd"/>
      <w:r w:rsidRPr="00986AB9">
        <w:rPr>
          <w:rFonts w:eastAsia="Times New Roman"/>
        </w:rPr>
        <w:t xml:space="preserve"> калия рассчитать значение постоянно Планка. </w:t>
      </w:r>
    </w:p>
    <w:p w:rsidR="00986AB9" w:rsidRPr="007A0552" w:rsidRDefault="00986AB9" w:rsidP="00986AB9">
      <w:pPr>
        <w:spacing w:after="0"/>
        <w:rPr>
          <w:rFonts w:eastAsia="Times New Roman"/>
          <w:b/>
        </w:rPr>
      </w:pPr>
    </w:p>
    <w:p w:rsidR="002F4C1E" w:rsidRPr="00986AB9" w:rsidRDefault="00927BB3" w:rsidP="00986AB9">
      <w:pPr>
        <w:spacing w:after="0"/>
        <w:rPr>
          <w:rFonts w:eastAsia="Times New Roman"/>
          <w:b/>
        </w:rPr>
      </w:pPr>
      <w:r w:rsidRPr="00986AB9">
        <w:rPr>
          <w:rFonts w:eastAsia="Times New Roman"/>
          <w:b/>
        </w:rPr>
        <w:t>Методика измерений</w:t>
      </w:r>
    </w:p>
    <w:p w:rsidR="001009DD" w:rsidRPr="007A0552" w:rsidRDefault="00986AB9" w:rsidP="00986AB9">
      <w:r w:rsidRPr="00986AB9">
        <w:t xml:space="preserve">При пропускании света через большинство жидкостей в спектрах имеются полосы поглощения. Если раствор </w:t>
      </w:r>
      <w:proofErr w:type="spellStart"/>
      <w:r w:rsidRPr="00986AB9">
        <w:t>двухромовокислого</w:t>
      </w:r>
      <w:proofErr w:type="spellEnd"/>
      <w:r w:rsidRPr="00986AB9">
        <w:t xml:space="preserve"> калия </w:t>
      </w:r>
      <w:r w:rsidR="001009DD" w:rsidRPr="001009DD">
        <w:rPr>
          <w:position w:val="-12"/>
        </w:rPr>
        <w:object w:dxaOrig="9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8pt" o:ole="">
            <v:imagedata r:id="rId9" o:title=""/>
          </v:shape>
          <o:OLEObject Type="Embed" ProgID="Equation.3" ShapeID="_x0000_i1025" DrawAspect="Content" ObjectID="_1353870251" r:id="rId10"/>
        </w:object>
      </w:r>
      <w:r w:rsidRPr="00986AB9">
        <w:rPr>
          <w:sz w:val="18"/>
          <w:szCs w:val="18"/>
        </w:rPr>
        <w:t xml:space="preserve"> </w:t>
      </w:r>
      <w:r w:rsidRPr="00986AB9">
        <w:t xml:space="preserve">освещать светом, то при поглощении света раствором происходит распад иона </w:t>
      </w:r>
      <w:r w:rsidR="001009DD" w:rsidRPr="001009DD">
        <w:rPr>
          <w:position w:val="-12"/>
        </w:rPr>
        <w:object w:dxaOrig="639" w:dyaOrig="360">
          <v:shape id="_x0000_i1026" type="#_x0000_t75" style="width:32.25pt;height:18pt" o:ole="">
            <v:imagedata r:id="rId11" o:title=""/>
          </v:shape>
          <o:OLEObject Type="Embed" ProgID="Equation.3" ShapeID="_x0000_i1026" DrawAspect="Content" ObjectID="_1353870252" r:id="rId12"/>
        </w:object>
      </w:r>
      <w:r w:rsidRPr="00986AB9">
        <w:t xml:space="preserve">. Распад происходит, если иону </w:t>
      </w:r>
      <w:r w:rsidR="001009DD" w:rsidRPr="001009DD">
        <w:rPr>
          <w:position w:val="-12"/>
        </w:rPr>
        <w:object w:dxaOrig="639" w:dyaOrig="360">
          <v:shape id="_x0000_i1027" type="#_x0000_t75" style="width:32.25pt;height:18pt" o:ole="">
            <v:imagedata r:id="rId13" o:title=""/>
          </v:shape>
          <o:OLEObject Type="Embed" ProgID="Equation.3" ShapeID="_x0000_i1027" DrawAspect="Content" ObjectID="_1353870253" r:id="rId14"/>
        </w:object>
      </w:r>
      <w:r w:rsidRPr="00986AB9">
        <w:rPr>
          <w:sz w:val="18"/>
          <w:szCs w:val="18"/>
        </w:rPr>
        <w:t xml:space="preserve"> </w:t>
      </w:r>
      <w:r w:rsidRPr="00986AB9">
        <w:t xml:space="preserve">сообщается энергия не менее </w:t>
      </w:r>
      <w:r w:rsidR="001009DD" w:rsidRPr="001009DD">
        <w:rPr>
          <w:position w:val="-10"/>
        </w:rPr>
        <w:object w:dxaOrig="1540" w:dyaOrig="360">
          <v:shape id="_x0000_i1028" type="#_x0000_t75" style="width:77.25pt;height:18pt" o:ole="">
            <v:imagedata r:id="rId15" o:title=""/>
          </v:shape>
          <o:OLEObject Type="Embed" ProgID="Equation.3" ShapeID="_x0000_i1028" DrawAspect="Content" ObjectID="_1353870254" r:id="rId16"/>
        </w:object>
      </w:r>
      <w:r w:rsidRPr="00986AB9">
        <w:t>. Следовательно, поглощаются фотоны, энергия которых</w:t>
      </w:r>
      <w:r w:rsidR="001009DD" w:rsidRPr="001009DD">
        <w:t xml:space="preserve"> </w:t>
      </w:r>
      <w:r w:rsidR="001009DD" w:rsidRPr="001009DD">
        <w:rPr>
          <w:position w:val="-6"/>
        </w:rPr>
        <w:object w:dxaOrig="740" w:dyaOrig="279">
          <v:shape id="_x0000_i1029" type="#_x0000_t75" style="width:36.75pt;height:14.25pt" o:ole="">
            <v:imagedata r:id="rId17" o:title=""/>
          </v:shape>
          <o:OLEObject Type="Embed" ProgID="Equation.3" ShapeID="_x0000_i1029" DrawAspect="Content" ObjectID="_1353870255" r:id="rId18"/>
        </w:object>
      </w:r>
      <w:r w:rsidR="001009DD" w:rsidRPr="001009DD">
        <w:t xml:space="preserve"> </w:t>
      </w:r>
      <w:r w:rsidRPr="00986AB9">
        <w:t xml:space="preserve"> больше или равна приведенного граничного значения </w:t>
      </w:r>
    </w:p>
    <w:p w:rsidR="001009DD" w:rsidRDefault="001009DD" w:rsidP="00986AB9">
      <w:pPr>
        <w:rPr>
          <w:lang w:val="en-US"/>
        </w:rPr>
      </w:pPr>
      <w:r w:rsidRPr="001009DD">
        <w:rPr>
          <w:position w:val="-10"/>
        </w:rPr>
        <w:object w:dxaOrig="2079" w:dyaOrig="360">
          <v:shape id="_x0000_i1030" type="#_x0000_t75" style="width:104.25pt;height:18pt" o:ole="">
            <v:imagedata r:id="rId19" o:title=""/>
          </v:shape>
          <o:OLEObject Type="Embed" ProgID="Equation.3" ShapeID="_x0000_i1030" DrawAspect="Content" ObjectID="_1353870256" r:id="rId20"/>
        </w:object>
      </w:r>
      <w:r w:rsidR="00986AB9" w:rsidRPr="00986AB9">
        <w:t>.</w:t>
      </w:r>
      <w:r w:rsidRPr="001009DD">
        <w:t xml:space="preserve"> </w:t>
      </w:r>
      <w:r w:rsidR="00986AB9" w:rsidRPr="00986AB9">
        <w:t xml:space="preserve"> (11.20) </w:t>
      </w:r>
    </w:p>
    <w:p w:rsidR="001009DD" w:rsidRPr="007A0552" w:rsidRDefault="00986AB9" w:rsidP="00986AB9">
      <w:r w:rsidRPr="00986AB9">
        <w:t xml:space="preserve">Используя связь частоты фотона </w:t>
      </w:r>
      <w:r w:rsidR="001009DD" w:rsidRPr="001009DD">
        <w:rPr>
          <w:position w:val="-6"/>
        </w:rPr>
        <w:object w:dxaOrig="200" w:dyaOrig="220">
          <v:shape id="_x0000_i1031" type="#_x0000_t75" style="width:9.75pt;height:11.25pt" o:ole="">
            <v:imagedata r:id="rId21" o:title=""/>
          </v:shape>
          <o:OLEObject Type="Embed" ProgID="Equation.3" ShapeID="_x0000_i1031" DrawAspect="Content" ObjectID="_1353870257" r:id="rId22"/>
        </w:object>
      </w:r>
      <w:r w:rsidRPr="00986AB9">
        <w:t>с длиной волны</w:t>
      </w:r>
      <w:r w:rsidR="001009DD" w:rsidRPr="001009DD">
        <w:t xml:space="preserve"> </w:t>
      </w:r>
      <w:r w:rsidR="001009DD" w:rsidRPr="001009DD">
        <w:rPr>
          <w:position w:val="-6"/>
        </w:rPr>
        <w:object w:dxaOrig="220" w:dyaOrig="279">
          <v:shape id="_x0000_i1032" type="#_x0000_t75" style="width:11.25pt;height:14.25pt" o:ole="">
            <v:imagedata r:id="rId23" o:title=""/>
          </v:shape>
          <o:OLEObject Type="Embed" ProgID="Equation.3" ShapeID="_x0000_i1032" DrawAspect="Content" ObjectID="_1353870258" r:id="rId24"/>
        </w:object>
      </w:r>
    </w:p>
    <w:p w:rsidR="001009DD" w:rsidRDefault="001009DD" w:rsidP="00986AB9">
      <w:r w:rsidRPr="001009DD">
        <w:rPr>
          <w:position w:val="-24"/>
          <w:lang w:val="en-US"/>
        </w:rPr>
        <w:object w:dxaOrig="639" w:dyaOrig="620">
          <v:shape id="_x0000_i1033" type="#_x0000_t75" style="width:32.25pt;height:30.75pt" o:ole="">
            <v:imagedata r:id="rId25" o:title=""/>
          </v:shape>
          <o:OLEObject Type="Embed" ProgID="Equation.3" ShapeID="_x0000_i1033" DrawAspect="Content" ObjectID="_1353870259" r:id="rId26"/>
        </w:object>
      </w:r>
      <w:r w:rsidRPr="007A0552">
        <w:t>,</w:t>
      </w:r>
    </w:p>
    <w:p w:rsidR="001009DD" w:rsidRPr="001009DD" w:rsidRDefault="001009DD" w:rsidP="00986AB9"/>
    <w:p w:rsidR="001009DD" w:rsidRDefault="00986AB9" w:rsidP="00986AB9">
      <w:r w:rsidRPr="00986AB9">
        <w:t>где</w:t>
      </w:r>
      <w:r w:rsidR="001009DD" w:rsidRPr="001009DD">
        <w:rPr>
          <w:position w:val="-10"/>
        </w:rPr>
        <w:object w:dxaOrig="1460" w:dyaOrig="360">
          <v:shape id="_x0000_i1034" type="#_x0000_t75" style="width:72.75pt;height:18pt" o:ole="">
            <v:imagedata r:id="rId27" o:title=""/>
          </v:shape>
          <o:OLEObject Type="Embed" ProgID="Equation.3" ShapeID="_x0000_i1034" DrawAspect="Content" ObjectID="_1353870260" r:id="rId28"/>
        </w:object>
      </w:r>
      <w:r w:rsidRPr="00986AB9">
        <w:t>– скорость света в вакууме, получаем</w:t>
      </w:r>
    </w:p>
    <w:p w:rsidR="001009DD" w:rsidRDefault="001009DD" w:rsidP="00986AB9">
      <w:r w:rsidRPr="001009DD">
        <w:rPr>
          <w:position w:val="-24"/>
        </w:rPr>
        <w:object w:dxaOrig="2120" w:dyaOrig="620">
          <v:shape id="_x0000_i1035" type="#_x0000_t75" style="width:105.75pt;height:30.75pt" o:ole="">
            <v:imagedata r:id="rId29" o:title=""/>
          </v:shape>
          <o:OLEObject Type="Embed" ProgID="Equation.3" ShapeID="_x0000_i1035" DrawAspect="Content" ObjectID="_1353870261" r:id="rId30"/>
        </w:object>
      </w:r>
      <w:r w:rsidR="00986AB9" w:rsidRPr="00986AB9">
        <w:t xml:space="preserve"> . (11.22) </w:t>
      </w:r>
    </w:p>
    <w:p w:rsidR="001009DD" w:rsidRDefault="001009DD" w:rsidP="00986AB9"/>
    <w:p w:rsidR="001009DD" w:rsidRDefault="00986AB9" w:rsidP="00986AB9">
      <w:r w:rsidRPr="00986AB9">
        <w:t>Граничное (максимальное) значение длины волны поглощенного света</w:t>
      </w:r>
      <w:r w:rsidR="001009DD">
        <w:t xml:space="preserve"> </w:t>
      </w:r>
      <w:r w:rsidR="001009DD" w:rsidRPr="001009DD">
        <w:rPr>
          <w:position w:val="-14"/>
        </w:rPr>
        <w:object w:dxaOrig="340" w:dyaOrig="380">
          <v:shape id="_x0000_i1036" type="#_x0000_t75" style="width:17.25pt;height:18.75pt" o:ole="">
            <v:imagedata r:id="rId31" o:title=""/>
          </v:shape>
          <o:OLEObject Type="Embed" ProgID="Equation.3" ShapeID="_x0000_i1036" DrawAspect="Content" ObjectID="_1353870262" r:id="rId32"/>
        </w:object>
      </w:r>
      <w:r w:rsidRPr="00986AB9">
        <w:t xml:space="preserve"> может быть найдено по спектру поглощения раствора </w:t>
      </w:r>
      <w:r w:rsidR="001009DD" w:rsidRPr="001009DD">
        <w:rPr>
          <w:position w:val="-12"/>
        </w:rPr>
        <w:object w:dxaOrig="920" w:dyaOrig="360">
          <v:shape id="_x0000_i1037" type="#_x0000_t75" style="width:45.75pt;height:18pt" o:ole="">
            <v:imagedata r:id="rId9" o:title=""/>
          </v:shape>
          <o:OLEObject Type="Embed" ProgID="Equation.3" ShapeID="_x0000_i1037" DrawAspect="Content" ObjectID="_1353870263" r:id="rId33"/>
        </w:object>
      </w:r>
      <w:r w:rsidRPr="00986AB9">
        <w:t xml:space="preserve">. По этому значению из формулы (11.22) может быть экспериментально определена постоянная Планка </w:t>
      </w:r>
    </w:p>
    <w:p w:rsidR="002F4C1E" w:rsidRPr="00986AB9" w:rsidRDefault="00625BE5" w:rsidP="00986AB9">
      <w:pPr>
        <w:rPr>
          <w:rFonts w:eastAsia="Times New Roman"/>
        </w:rPr>
      </w:pPr>
      <w:r w:rsidRPr="001009DD">
        <w:rPr>
          <w:position w:val="-24"/>
        </w:rPr>
        <w:object w:dxaOrig="2760" w:dyaOrig="660">
          <v:shape id="_x0000_i1038" type="#_x0000_t75" style="width:138pt;height:33pt" o:ole="">
            <v:imagedata r:id="rId34" o:title=""/>
          </v:shape>
          <o:OLEObject Type="Embed" ProgID="Equation.3" ShapeID="_x0000_i1038" DrawAspect="Content" ObjectID="_1353870264" r:id="rId35"/>
        </w:object>
      </w:r>
      <w:r w:rsidR="001009DD">
        <w:t xml:space="preserve"> (11.23)</w:t>
      </w:r>
    </w:p>
    <w:p w:rsidR="00986AB9" w:rsidRPr="00986AB9" w:rsidRDefault="00986AB9" w:rsidP="00986AB9">
      <w:pPr>
        <w:pStyle w:val="Default"/>
        <w:spacing w:after="0"/>
        <w:rPr>
          <w:b/>
          <w:sz w:val="22"/>
          <w:szCs w:val="22"/>
        </w:rPr>
      </w:pPr>
    </w:p>
    <w:p w:rsidR="00712F64" w:rsidRPr="00986AB9" w:rsidRDefault="00712F64" w:rsidP="00986AB9">
      <w:pPr>
        <w:pStyle w:val="Default"/>
        <w:spacing w:after="0"/>
        <w:rPr>
          <w:b/>
          <w:sz w:val="22"/>
          <w:szCs w:val="22"/>
        </w:rPr>
      </w:pPr>
      <w:r w:rsidRPr="00986AB9">
        <w:rPr>
          <w:b/>
          <w:sz w:val="22"/>
          <w:szCs w:val="22"/>
        </w:rPr>
        <w:t>Порядок выполнения работы</w:t>
      </w:r>
    </w:p>
    <w:p w:rsidR="00D67AF7" w:rsidRPr="00986AB9" w:rsidRDefault="00712F64" w:rsidP="00986AB9">
      <w:pPr>
        <w:pStyle w:val="a8"/>
        <w:numPr>
          <w:ilvl w:val="0"/>
          <w:numId w:val="1"/>
        </w:numPr>
        <w:spacing w:after="0"/>
        <w:rPr>
          <w:rFonts w:eastAsia="Times New Roman"/>
        </w:rPr>
      </w:pPr>
      <w:r w:rsidRPr="00986AB9">
        <w:t>Совмещая при помощи микрометрического винта визирную линию окуляра (красная стрелка) поочередно с различными спектральными линиями, записать в таблицу для каждого цвета</w:t>
      </w:r>
      <w:r w:rsidR="00625BE5">
        <w:t xml:space="preserve"> </w:t>
      </w:r>
      <w:r w:rsidRPr="00986AB9">
        <w:t xml:space="preserve">(фиолетовый, синий, голубой, зеленый, желтый) соответствующие им деления </w:t>
      </w:r>
      <w:proofErr w:type="spellStart"/>
      <w:r w:rsidRPr="00986AB9">
        <w:t>n</w:t>
      </w:r>
      <w:proofErr w:type="spellEnd"/>
      <w:r w:rsidRPr="00986AB9">
        <w:t xml:space="preserve"> на шкале винта.</w:t>
      </w:r>
    </w:p>
    <w:p w:rsidR="002F4C1E" w:rsidRPr="00986AB9" w:rsidRDefault="00D67AF7" w:rsidP="00986AB9">
      <w:pPr>
        <w:pStyle w:val="a8"/>
        <w:spacing w:after="0"/>
        <w:rPr>
          <w:rFonts w:eastAsia="Times New Roman"/>
        </w:rPr>
      </w:pPr>
      <w:r w:rsidRPr="00986AB9">
        <w:t xml:space="preserve">* Для перемещения винта использовать </w:t>
      </w:r>
      <w:r w:rsidR="003B1D61">
        <w:t xml:space="preserve">серые </w:t>
      </w:r>
      <w:r w:rsidRPr="00986AB9">
        <w:t>стрелки, расположенные рядом с винтом.</w:t>
      </w:r>
      <w:r w:rsidR="00625BE5">
        <w:t xml:space="preserve"> Для этого подведите к ним курсор мыши и нажмите и удерживайте левую кнопку мыши.</w:t>
      </w:r>
      <w:r w:rsidRPr="00986AB9">
        <w:t xml:space="preserve"> Показания винта отображаются на цифровой панели рядом с винтом и на самом винте.</w:t>
      </w:r>
    </w:p>
    <w:p w:rsidR="007A0552" w:rsidRPr="007A0552" w:rsidRDefault="00625BE5" w:rsidP="00625BE5">
      <w:pPr>
        <w:pStyle w:val="a8"/>
        <w:numPr>
          <w:ilvl w:val="0"/>
          <w:numId w:val="1"/>
        </w:numPr>
        <w:spacing w:after="0"/>
        <w:rPr>
          <w:rFonts w:eastAsia="Times New Roman"/>
        </w:rPr>
      </w:pPr>
      <w:r>
        <w:t>По рисунку</w:t>
      </w:r>
    </w:p>
    <w:p w:rsidR="007A0552" w:rsidRDefault="00625BE5" w:rsidP="007A0552">
      <w:pPr>
        <w:pStyle w:val="a8"/>
        <w:spacing w:after="0"/>
        <w:rPr>
          <w:lang w:val="en-US"/>
        </w:rPr>
      </w:pPr>
      <w:r>
        <w:lastRenderedPageBreak/>
        <w:t xml:space="preserve"> </w:t>
      </w:r>
      <w:r w:rsidR="00DB0A38" w:rsidRPr="00986AB9">
        <w:t xml:space="preserve"> </w:t>
      </w:r>
      <w:r>
        <w:t xml:space="preserve"> </w:t>
      </w:r>
      <w:r>
        <w:rPr>
          <w:noProof/>
        </w:rPr>
        <w:drawing>
          <wp:inline distT="0" distB="0" distL="0" distR="0">
            <wp:extent cx="5248275" cy="1828800"/>
            <wp:effectExtent l="19050" t="0" r="9525" b="0"/>
            <wp:docPr id="3" name="Рисунок 2" descr="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jpg"/>
                    <pic:cNvPicPr/>
                  </pic:nvPicPr>
                  <pic:blipFill>
                    <a:blip r:embed="rId36"/>
                    <a:stretch>
                      <a:fillRect/>
                    </a:stretch>
                  </pic:blipFill>
                  <pic:spPr>
                    <a:xfrm>
                      <a:off x="0" y="0"/>
                      <a:ext cx="5248275" cy="1828800"/>
                    </a:xfrm>
                    <a:prstGeom prst="rect">
                      <a:avLst/>
                    </a:prstGeom>
                  </pic:spPr>
                </pic:pic>
              </a:graphicData>
            </a:graphic>
          </wp:inline>
        </w:drawing>
      </w:r>
    </w:p>
    <w:p w:rsidR="007A0552" w:rsidRDefault="007A0552" w:rsidP="007A0552">
      <w:pPr>
        <w:pStyle w:val="a8"/>
        <w:spacing w:after="0"/>
        <w:rPr>
          <w:lang w:val="en-US"/>
        </w:rPr>
      </w:pPr>
    </w:p>
    <w:p w:rsidR="00625BE5" w:rsidRDefault="00DB0A38" w:rsidP="007A0552">
      <w:pPr>
        <w:pStyle w:val="a8"/>
        <w:spacing w:after="0"/>
        <w:rPr>
          <w:lang w:val="en-US"/>
        </w:rPr>
      </w:pPr>
      <w:r w:rsidRPr="00986AB9">
        <w:t>определить и записать в таблицу длины волн наблюдаемых спектральных линий.</w:t>
      </w:r>
      <w:r w:rsidR="00625BE5">
        <w:t xml:space="preserve"> </w:t>
      </w:r>
      <w:r w:rsidR="00625BE5" w:rsidRPr="00625BE5">
        <w:rPr>
          <w:position w:val="-6"/>
        </w:rPr>
        <w:object w:dxaOrig="1140" w:dyaOrig="440">
          <v:shape id="_x0000_i1039" type="#_x0000_t75" style="width:57pt;height:21.75pt" o:ole="">
            <v:imagedata r:id="rId37" o:title=""/>
          </v:shape>
          <o:OLEObject Type="Embed" ProgID="Equation.3" ShapeID="_x0000_i1039" DrawAspect="Content" ObjectID="_1353870265" r:id="rId38"/>
        </w:object>
      </w:r>
      <w:r w:rsidR="00625BE5">
        <w:t>.</w:t>
      </w:r>
    </w:p>
    <w:p w:rsidR="00883F30" w:rsidRPr="00883F30" w:rsidRDefault="00883F30" w:rsidP="007A0552">
      <w:pPr>
        <w:pStyle w:val="a8"/>
        <w:spacing w:after="0"/>
        <w:rPr>
          <w:rFonts w:eastAsia="Times New Roman"/>
        </w:rPr>
      </w:pPr>
      <w:r w:rsidRPr="00883F30">
        <w:t>*</w:t>
      </w:r>
      <w:r>
        <w:t>При занесении длин волн в таблицу обратите внимание на размерность, в которой нужно вводить найденные значения</w:t>
      </w:r>
      <w:r w:rsidRPr="00883F30">
        <w:t>:</w:t>
      </w:r>
      <w:r>
        <w:t xml:space="preserve"> </w:t>
      </w:r>
      <w:r w:rsidRPr="00883F30">
        <w:rPr>
          <w:position w:val="-6"/>
        </w:rPr>
        <w:object w:dxaOrig="740" w:dyaOrig="320">
          <v:shape id="_x0000_i1040" type="#_x0000_t75" style="width:36.75pt;height:15.75pt" o:ole="">
            <v:imagedata r:id="rId39" o:title=""/>
          </v:shape>
          <o:OLEObject Type="Embed" ProgID="Equation.3" ShapeID="_x0000_i1040" DrawAspect="Content" ObjectID="_1353870266" r:id="rId40"/>
        </w:object>
      </w:r>
    </w:p>
    <w:p w:rsidR="00DB0A38" w:rsidRPr="00986AB9" w:rsidRDefault="00D67AF7" w:rsidP="00986AB9">
      <w:pPr>
        <w:pStyle w:val="a8"/>
        <w:numPr>
          <w:ilvl w:val="0"/>
          <w:numId w:val="1"/>
        </w:numPr>
        <w:spacing w:after="0"/>
        <w:rPr>
          <w:rFonts w:eastAsia="Times New Roman"/>
        </w:rPr>
      </w:pPr>
      <w:r w:rsidRPr="00986AB9">
        <w:t xml:space="preserve">Построить градуировочную кривую, откладывая по оси ординат длины волн спектральных линий, а по оси абсцисс – соответствующие им деления шкалы микрометрического винта </w:t>
      </w:r>
      <w:proofErr w:type="spellStart"/>
      <w:r w:rsidRPr="00986AB9">
        <w:t>n</w:t>
      </w:r>
      <w:proofErr w:type="spellEnd"/>
      <w:r w:rsidRPr="00986AB9">
        <w:t>.</w:t>
      </w:r>
    </w:p>
    <w:p w:rsidR="003B1D61" w:rsidRDefault="003B1D61" w:rsidP="00986AB9">
      <w:pPr>
        <w:pStyle w:val="a8"/>
        <w:numPr>
          <w:ilvl w:val="0"/>
          <w:numId w:val="1"/>
        </w:numPr>
        <w:spacing w:after="0"/>
        <w:rPr>
          <w:rFonts w:eastAsia="Times New Roman"/>
        </w:rPr>
      </w:pPr>
      <w:r>
        <w:rPr>
          <w:rFonts w:eastAsia="Times New Roman"/>
        </w:rPr>
        <w:t xml:space="preserve">Установить лампу накаливания напротив щели спектроскопа и поместить на полочку перед ней флакон с </w:t>
      </w:r>
      <w:proofErr w:type="spellStart"/>
      <w:r>
        <w:rPr>
          <w:rFonts w:eastAsia="Times New Roman"/>
        </w:rPr>
        <w:t>двухромовокислым</w:t>
      </w:r>
      <w:proofErr w:type="spellEnd"/>
      <w:r>
        <w:rPr>
          <w:rFonts w:eastAsia="Times New Roman"/>
        </w:rPr>
        <w:t xml:space="preserve"> калием.</w:t>
      </w:r>
    </w:p>
    <w:p w:rsidR="003B1D61" w:rsidRPr="003B1D61" w:rsidRDefault="003B1D61" w:rsidP="003B1D61">
      <w:pPr>
        <w:pStyle w:val="a8"/>
        <w:spacing w:after="0"/>
        <w:rPr>
          <w:rFonts w:eastAsia="Times New Roman"/>
        </w:rPr>
      </w:pPr>
      <w:r>
        <w:rPr>
          <w:rFonts w:eastAsia="Times New Roman"/>
        </w:rPr>
        <w:t>*Для этого подведите курсор мыши к флакону на столе и щелкните левой кнопкой мыши. Чтобы вернуться назад к изучению спектра ртутной лампы, повторно щелкните по флакону левой кнопкой мыши.</w:t>
      </w:r>
    </w:p>
    <w:p w:rsidR="00D67AF7" w:rsidRPr="003B1D61" w:rsidRDefault="00D67AF7" w:rsidP="00986AB9">
      <w:pPr>
        <w:pStyle w:val="a8"/>
        <w:numPr>
          <w:ilvl w:val="0"/>
          <w:numId w:val="1"/>
        </w:numPr>
        <w:spacing w:after="0"/>
        <w:rPr>
          <w:rFonts w:eastAsia="Times New Roman"/>
        </w:rPr>
      </w:pPr>
      <w:r w:rsidRPr="00986AB9">
        <w:t>Установить визирную лини</w:t>
      </w:r>
      <w:proofErr w:type="gramStart"/>
      <w:r w:rsidRPr="00986AB9">
        <w:t>ю(</w:t>
      </w:r>
      <w:proofErr w:type="gramEnd"/>
      <w:r w:rsidRPr="00986AB9">
        <w:t>переместить красную стрелку) на границу поглощения (зеленый цвет) и записать деление шкалы микрометрического винта, соответствующее граничной длине волны , с которой начинается поглощение.</w:t>
      </w:r>
    </w:p>
    <w:p w:rsidR="003B1D61" w:rsidRPr="00986AB9" w:rsidRDefault="003B1D61" w:rsidP="003B1D61">
      <w:pPr>
        <w:pStyle w:val="a8"/>
        <w:spacing w:after="0"/>
        <w:rPr>
          <w:rFonts w:eastAsia="Times New Roman"/>
        </w:rPr>
      </w:pPr>
      <w:r>
        <w:t>*Управление винтом осуществляется аналогично п.1</w:t>
      </w:r>
    </w:p>
    <w:p w:rsidR="00883F30" w:rsidRPr="00883F30" w:rsidRDefault="00D67AF7" w:rsidP="00986AB9">
      <w:pPr>
        <w:pStyle w:val="a8"/>
        <w:numPr>
          <w:ilvl w:val="0"/>
          <w:numId w:val="1"/>
        </w:numPr>
        <w:spacing w:after="0"/>
        <w:rPr>
          <w:rFonts w:eastAsia="Times New Roman"/>
        </w:rPr>
      </w:pPr>
      <w:r w:rsidRPr="00986AB9">
        <w:t xml:space="preserve">По </w:t>
      </w:r>
      <w:proofErr w:type="spellStart"/>
      <w:r w:rsidRPr="00986AB9">
        <w:t>градуировочному</w:t>
      </w:r>
      <w:proofErr w:type="spellEnd"/>
      <w:r w:rsidRPr="00986AB9">
        <w:t xml:space="preserve"> графику определить значение</w:t>
      </w:r>
      <w:r w:rsidR="0062480B" w:rsidRPr="00986AB9">
        <w:t xml:space="preserve"> граничной длины волны</w:t>
      </w:r>
      <w:r w:rsidRPr="00986AB9">
        <w:t xml:space="preserve"> и по формуле (1</w:t>
      </w:r>
      <w:r w:rsidR="00883F30" w:rsidRPr="00883F30">
        <w:t>1</w:t>
      </w:r>
      <w:r w:rsidR="00883F30">
        <w:t>.</w:t>
      </w:r>
      <w:r w:rsidR="00883F30" w:rsidRPr="00883F30">
        <w:t>23</w:t>
      </w:r>
      <w:r w:rsidRPr="00986AB9">
        <w:t xml:space="preserve">) вычислить постоянную Планка. </w:t>
      </w:r>
    </w:p>
    <w:p w:rsidR="00883F30" w:rsidRPr="00883F30" w:rsidRDefault="00883F30" w:rsidP="00883F30">
      <w:pPr>
        <w:pStyle w:val="a8"/>
        <w:spacing w:after="0"/>
        <w:rPr>
          <w:rFonts w:eastAsia="Times New Roman"/>
          <w:lang w:val="en-US"/>
        </w:rPr>
      </w:pPr>
      <w:r w:rsidRPr="00883F30">
        <w:t>*</w:t>
      </w:r>
      <w:r>
        <w:t>При занесении данных в таблицу обратите внимание на размерность, в которой нужно вводить найденные значения</w:t>
      </w:r>
      <w:proofErr w:type="gramStart"/>
      <w:r>
        <w:t xml:space="preserve">. </w:t>
      </w:r>
      <w:proofErr w:type="gramEnd"/>
      <w:r>
        <w:t>Для длины волны</w:t>
      </w:r>
      <w:r w:rsidRPr="00883F30">
        <w:t>:</w:t>
      </w:r>
      <w:r>
        <w:t xml:space="preserve"> </w:t>
      </w:r>
      <w:r w:rsidRPr="00883F30">
        <w:rPr>
          <w:position w:val="-6"/>
        </w:rPr>
        <w:object w:dxaOrig="740" w:dyaOrig="320">
          <v:shape id="_x0000_i1041" type="#_x0000_t75" style="width:36.75pt;height:15.75pt" o:ole="">
            <v:imagedata r:id="rId41" o:title=""/>
          </v:shape>
          <o:OLEObject Type="Embed" ProgID="Equation.3" ShapeID="_x0000_i1041" DrawAspect="Content" ObjectID="_1353870267" r:id="rId42"/>
        </w:object>
      </w:r>
      <w:r>
        <w:t>, для постоянной Планка</w:t>
      </w:r>
      <w:r>
        <w:rPr>
          <w:lang w:val="en-US"/>
        </w:rPr>
        <w:t xml:space="preserve">: </w:t>
      </w:r>
      <w:r w:rsidRPr="00883F30">
        <w:rPr>
          <w:position w:val="-10"/>
        </w:rPr>
        <w:object w:dxaOrig="1219" w:dyaOrig="360">
          <v:shape id="_x0000_i1042" type="#_x0000_t75" style="width:60.75pt;height:18pt" o:ole="">
            <v:imagedata r:id="rId43" o:title=""/>
          </v:shape>
          <o:OLEObject Type="Embed" ProgID="Equation.3" ShapeID="_x0000_i1042" DrawAspect="Content" ObjectID="_1353870268" r:id="rId44"/>
        </w:object>
      </w:r>
      <w:r>
        <w:rPr>
          <w:lang w:val="en-US"/>
        </w:rPr>
        <w:t>.</w:t>
      </w:r>
    </w:p>
    <w:p w:rsidR="00D67AF7" w:rsidRPr="00986AB9" w:rsidRDefault="00D67AF7" w:rsidP="00986AB9">
      <w:pPr>
        <w:pStyle w:val="a8"/>
        <w:numPr>
          <w:ilvl w:val="0"/>
          <w:numId w:val="1"/>
        </w:numPr>
        <w:spacing w:after="0"/>
        <w:rPr>
          <w:rFonts w:eastAsia="Times New Roman"/>
        </w:rPr>
      </w:pPr>
      <w:r w:rsidRPr="00986AB9">
        <w:t>Рассчитать относительную погрешность измерений:</w:t>
      </w:r>
    </w:p>
    <w:p w:rsidR="00986AB9" w:rsidRPr="00883F30" w:rsidRDefault="00D67AF7" w:rsidP="003B1D61">
      <w:pPr>
        <w:pStyle w:val="a8"/>
        <w:spacing w:after="0"/>
        <w:jc w:val="center"/>
        <w:rPr>
          <w:rFonts w:eastAsia="Times New Roman"/>
          <w:lang w:val="en-US"/>
        </w:rPr>
      </w:pPr>
      <w:r w:rsidRPr="00986AB9">
        <w:rPr>
          <w:rFonts w:eastAsia="Times New Roman"/>
          <w:noProof/>
        </w:rPr>
        <w:drawing>
          <wp:inline distT="0" distB="0" distL="0" distR="0">
            <wp:extent cx="1171575" cy="518841"/>
            <wp:effectExtent l="19050" t="0" r="9525" b="0"/>
            <wp:docPr id="5" name="Рисунок 4" descr="pogrplan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grplanka.png"/>
                    <pic:cNvPicPr/>
                  </pic:nvPicPr>
                  <pic:blipFill>
                    <a:blip r:embed="rId45"/>
                    <a:stretch>
                      <a:fillRect/>
                    </a:stretch>
                  </pic:blipFill>
                  <pic:spPr>
                    <a:xfrm>
                      <a:off x="0" y="0"/>
                      <a:ext cx="1171575" cy="514350"/>
                    </a:xfrm>
                    <a:prstGeom prst="rect">
                      <a:avLst/>
                    </a:prstGeom>
                  </pic:spPr>
                </pic:pic>
              </a:graphicData>
            </a:graphic>
          </wp:inline>
        </w:drawing>
      </w:r>
      <w:r w:rsidR="00883F30">
        <w:rPr>
          <w:rFonts w:eastAsia="Times New Roman"/>
        </w:rPr>
        <w:t xml:space="preserve">   </w:t>
      </w:r>
    </w:p>
    <w:p w:rsidR="00986AB9" w:rsidRDefault="00986AB9" w:rsidP="00986AB9">
      <w:pPr>
        <w:pStyle w:val="a8"/>
        <w:spacing w:after="0"/>
        <w:jc w:val="center"/>
        <w:rPr>
          <w:rFonts w:eastAsia="Times New Roman"/>
          <w:lang w:val="en-US"/>
        </w:rPr>
      </w:pPr>
    </w:p>
    <w:p w:rsidR="00986AB9" w:rsidRPr="00986AB9" w:rsidRDefault="00986AB9" w:rsidP="00986AB9">
      <w:pPr>
        <w:pStyle w:val="a8"/>
        <w:spacing w:after="0"/>
        <w:jc w:val="center"/>
        <w:rPr>
          <w:rFonts w:eastAsia="Times New Roman"/>
          <w:lang w:val="en-US"/>
        </w:rPr>
      </w:pPr>
    </w:p>
    <w:sectPr w:rsidR="00986AB9" w:rsidRPr="00986AB9" w:rsidSect="002F4C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D00AA0"/>
    <w:multiLevelType w:val="hybridMultilevel"/>
    <w:tmpl w:val="5D3A0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compat>
    <w:useFELayout/>
  </w:compat>
  <w:rsids>
    <w:rsidRoot w:val="00A245FD"/>
    <w:rsid w:val="00013E3A"/>
    <w:rsid w:val="000F43C9"/>
    <w:rsid w:val="001009DD"/>
    <w:rsid w:val="002F4C1E"/>
    <w:rsid w:val="003B1D61"/>
    <w:rsid w:val="0062480B"/>
    <w:rsid w:val="00625BE5"/>
    <w:rsid w:val="00712F64"/>
    <w:rsid w:val="007A0552"/>
    <w:rsid w:val="00883F30"/>
    <w:rsid w:val="00927BB3"/>
    <w:rsid w:val="00986AB9"/>
    <w:rsid w:val="00A15752"/>
    <w:rsid w:val="00A245FD"/>
    <w:rsid w:val="00D5089E"/>
    <w:rsid w:val="00D67AF7"/>
    <w:rsid w:val="00DB0A38"/>
    <w:rsid w:val="00FB48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AB9"/>
  </w:style>
  <w:style w:type="paragraph" w:styleId="1">
    <w:name w:val="heading 1"/>
    <w:basedOn w:val="a"/>
    <w:link w:val="10"/>
    <w:uiPriority w:val="9"/>
    <w:qFormat/>
    <w:rsid w:val="002F4C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86A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2F4C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F4C1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locked/>
    <w:rsid w:val="00986AB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locked/>
    <w:rsid w:val="002F4C1E"/>
    <w:rPr>
      <w:rFonts w:asciiTheme="majorHAnsi" w:eastAsiaTheme="majorEastAsia" w:hAnsiTheme="majorHAnsi" w:cstheme="majorBidi"/>
      <w:b/>
      <w:bCs/>
      <w:color w:val="4F81BD" w:themeColor="accent1"/>
    </w:rPr>
  </w:style>
  <w:style w:type="paragraph" w:styleId="a3">
    <w:name w:val="Normal (Web)"/>
    <w:basedOn w:val="a"/>
    <w:uiPriority w:val="99"/>
    <w:unhideWhenUsed/>
    <w:rsid w:val="002F4C1E"/>
    <w:pPr>
      <w:spacing w:before="100" w:beforeAutospacing="1" w:after="100" w:afterAutospacing="1"/>
    </w:pPr>
  </w:style>
  <w:style w:type="paragraph" w:styleId="a4">
    <w:name w:val="Balloon Text"/>
    <w:basedOn w:val="a"/>
    <w:link w:val="a5"/>
    <w:uiPriority w:val="99"/>
    <w:semiHidden/>
    <w:unhideWhenUsed/>
    <w:rsid w:val="002F4C1E"/>
    <w:rPr>
      <w:rFonts w:ascii="Tahoma" w:hAnsi="Tahoma" w:cs="Tahoma"/>
      <w:sz w:val="16"/>
      <w:szCs w:val="16"/>
    </w:rPr>
  </w:style>
  <w:style w:type="character" w:customStyle="1" w:styleId="a5">
    <w:name w:val="Текст выноски Знак"/>
    <w:basedOn w:val="a0"/>
    <w:link w:val="a4"/>
    <w:uiPriority w:val="99"/>
    <w:semiHidden/>
    <w:locked/>
    <w:rsid w:val="002F4C1E"/>
    <w:rPr>
      <w:rFonts w:ascii="Tahoma" w:eastAsiaTheme="minorEastAsia" w:hAnsi="Tahoma" w:cs="Tahoma" w:hint="default"/>
      <w:sz w:val="16"/>
      <w:szCs w:val="16"/>
    </w:rPr>
  </w:style>
  <w:style w:type="character" w:styleId="a6">
    <w:name w:val="Strong"/>
    <w:basedOn w:val="a0"/>
    <w:uiPriority w:val="22"/>
    <w:qFormat/>
    <w:rsid w:val="002F4C1E"/>
    <w:rPr>
      <w:b/>
      <w:bCs/>
    </w:rPr>
  </w:style>
  <w:style w:type="paragraph" w:styleId="a7">
    <w:name w:val="No Spacing"/>
    <w:uiPriority w:val="1"/>
    <w:qFormat/>
    <w:rsid w:val="00FB48E6"/>
    <w:pPr>
      <w:spacing w:after="0" w:line="240" w:lineRule="auto"/>
    </w:pPr>
  </w:style>
  <w:style w:type="paragraph" w:customStyle="1" w:styleId="Default">
    <w:name w:val="Default"/>
    <w:rsid w:val="00712F64"/>
    <w:pPr>
      <w:autoSpaceDE w:val="0"/>
      <w:autoSpaceDN w:val="0"/>
      <w:adjustRightInd w:val="0"/>
    </w:pPr>
    <w:rPr>
      <w:color w:val="000000"/>
      <w:sz w:val="24"/>
      <w:szCs w:val="24"/>
    </w:rPr>
  </w:style>
  <w:style w:type="paragraph" w:styleId="a8">
    <w:name w:val="List Paragraph"/>
    <w:basedOn w:val="a"/>
    <w:uiPriority w:val="34"/>
    <w:qFormat/>
    <w:rsid w:val="00986AB9"/>
    <w:pPr>
      <w:ind w:left="720"/>
      <w:contextualSpacing/>
    </w:pPr>
  </w:style>
  <w:style w:type="paragraph" w:styleId="a9">
    <w:name w:val="caption"/>
    <w:basedOn w:val="a"/>
    <w:next w:val="a"/>
    <w:uiPriority w:val="35"/>
    <w:semiHidden/>
    <w:unhideWhenUsed/>
    <w:qFormat/>
    <w:rsid w:val="00DB0A38"/>
    <w:pPr>
      <w:spacing w:line="240" w:lineRule="auto"/>
    </w:pPr>
    <w:rPr>
      <w:b/>
      <w:bCs/>
      <w:color w:val="4F81BD" w:themeColor="accent1"/>
      <w:sz w:val="18"/>
      <w:szCs w:val="18"/>
    </w:rPr>
  </w:style>
  <w:style w:type="character" w:styleId="aa">
    <w:name w:val="Hyperlink"/>
    <w:basedOn w:val="a0"/>
    <w:uiPriority w:val="99"/>
    <w:unhideWhenUsed/>
    <w:rsid w:val="00986AB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7-zip.org/download.html" TargetMode="Externa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oleObject" Target="embeddings/oleObject17.bin"/><Relationship Id="rId47" Type="http://schemas.openxmlformats.org/officeDocument/2006/relationships/theme" Target="theme/theme1.xml"/><Relationship Id="rId7" Type="http://schemas.openxmlformats.org/officeDocument/2006/relationships/hyperlink" Target="http://www.kaf801.ru/LaborantClient.php" TargetMode="Externa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3.bin"/><Relationship Id="rId38" Type="http://schemas.openxmlformats.org/officeDocument/2006/relationships/oleObject" Target="embeddings/oleObject15.bin"/><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image" Target="media/image17.wmf"/><Relationship Id="rId1" Type="http://schemas.openxmlformats.org/officeDocument/2006/relationships/customXml" Target="../customXml/item1.xml"/><Relationship Id="rId6" Type="http://schemas.openxmlformats.org/officeDocument/2006/relationships/hyperlink" Target="http://www.kaf801.ru/reg.php" TargetMode="Externa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image" Target="media/image14.jpeg"/><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8.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oleObject" Target="embeddings/oleObject14.bin"/><Relationship Id="rId43"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31865-793C-4CEC-90E8-10E922D29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921</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Лабораторная работа №127</vt:lpstr>
    </vt:vector>
  </TitlesOfParts>
  <Company>Microsoft</Company>
  <LinksUpToDate>false</LinksUpToDate>
  <CharactersWithSpaces>6165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№127</dc:title>
  <dc:creator>Aleksey</dc:creator>
  <cp:lastModifiedBy>Admin</cp:lastModifiedBy>
  <cp:revision>5</cp:revision>
  <dcterms:created xsi:type="dcterms:W3CDTF">2010-11-15T00:05:00Z</dcterms:created>
  <dcterms:modified xsi:type="dcterms:W3CDTF">2010-12-14T19:17:00Z</dcterms:modified>
</cp:coreProperties>
</file>